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BC06E6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06E6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BC06E6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06E6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BC06E6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C06E6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C06E6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BC06E6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BC06E6">
        <w:rPr>
          <w:rFonts w:ascii="Arial" w:hAnsi="Arial" w:cs="Arial"/>
          <w:b/>
          <w:sz w:val="20"/>
          <w:szCs w:val="20"/>
        </w:rPr>
        <w:t>INSTRUCTIONS:</w:t>
      </w: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BC06E6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BC06E6" w:rsidTr="00360664">
        <w:trPr>
          <w:trHeight w:val="1997"/>
        </w:trPr>
        <w:tc>
          <w:tcPr>
            <w:tcW w:w="5418" w:type="dxa"/>
            <w:gridSpan w:val="2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BC06E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BC06E6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C06E6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BC06E6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BC06E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BC06E6" w:rsidRDefault="007E00B6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C06E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C06E6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BC06E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BC06E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BC06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BC06E6" w:rsidRDefault="002803BE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C06E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C06E6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BC06E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BC06E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BC06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BC06E6" w:rsidRDefault="00BC4B1C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C06E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C06E6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BC06E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BC06E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BC06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BC06E6" w:rsidRDefault="00BC4B1C" w:rsidP="00150DC9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BC06E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BC06E6">
              <w:rPr>
                <w:rFonts w:ascii="Arial" w:hAnsi="Arial" w:cs="Arial"/>
                <w:b/>
                <w:sz w:val="20"/>
                <w:szCs w:val="20"/>
              </w:rPr>
              <w:t>Quarter 4 (October 1 – December 31, 20</w:t>
            </w:r>
            <w:r w:rsidR="00E51A89" w:rsidRPr="00BC06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756" w:rsidRPr="00BC06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BC06E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C209F" w:rsidRPr="00BC06E6" w:rsidTr="00360664">
        <w:tc>
          <w:tcPr>
            <w:tcW w:w="10908" w:type="dxa"/>
            <w:gridSpan w:val="4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BC06E6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C06E6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BC06E6">
              <w:t xml:space="preserve"> </w:t>
            </w:r>
            <w:r w:rsidR="00FE3476" w:rsidRPr="00BC06E6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C06E6" w:rsidTr="001D456E">
        <w:tc>
          <w:tcPr>
            <w:tcW w:w="3888" w:type="dxa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BC06E6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BC06E6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BC06E6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BC06E6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BC06E6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BC06E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BC06E6" w:rsidTr="001D456E">
        <w:tc>
          <w:tcPr>
            <w:tcW w:w="3888" w:type="dxa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BC06E6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BC0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BC06E6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BC06E6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BC06E6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944396" w:rsidRPr="00BC06E6" w:rsidRDefault="007D695F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09E5" w:rsidRPr="00BC06E6">
              <w:rPr>
                <w:rFonts w:ascii="Arial" w:hAnsi="Arial" w:cs="Arial"/>
                <w:sz w:val="20"/>
                <w:szCs w:val="20"/>
              </w:rPr>
              <w:t>No contract currently</w:t>
            </w:r>
            <w:r w:rsidR="004C360B" w:rsidRPr="00BC06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60B" w:rsidRPr="00BC06E6" w:rsidRDefault="004C360B" w:rsidP="004C360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6E6">
              <w:rPr>
                <w:rFonts w:ascii="Arial" w:hAnsi="Arial" w:cs="Arial"/>
                <w:sz w:val="20"/>
                <w:szCs w:val="20"/>
                <w:u w:val="single"/>
              </w:rPr>
              <w:t>Transitioning from TPF-5(349).</w:t>
            </w:r>
          </w:p>
          <w:p w:rsidR="000C209F" w:rsidRPr="00BC06E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BC06E6" w:rsidRDefault="006F6064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BC06E6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BC06E6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BC06E6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</w:tr>
      <w:tr w:rsidR="000C209F" w:rsidRPr="00BC06E6" w:rsidTr="001D456E">
        <w:tc>
          <w:tcPr>
            <w:tcW w:w="3888" w:type="dxa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BC06E6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BC06E6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BC06E6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0C209F" w:rsidRPr="00BC06E6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BC06E6">
              <w:rPr>
                <w:rFonts w:ascii="Arial" w:hAnsi="Arial" w:cs="Arial"/>
                <w:sz w:val="20"/>
                <w:szCs w:val="20"/>
              </w:rPr>
              <w:t>5</w:t>
            </w:r>
            <w:r w:rsidRPr="00BC06E6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C06E6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8588C" w:rsidRPr="00BC06E6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C06E6">
        <w:rPr>
          <w:rFonts w:ascii="Arial" w:hAnsi="Arial" w:cs="Arial"/>
          <w:sz w:val="20"/>
          <w:szCs w:val="20"/>
        </w:rPr>
        <w:t>Project schedule status:</w:t>
      </w: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C06E6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BC06E6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BC06E6">
        <w:rPr>
          <w:rFonts w:ascii="Arial" w:hAnsi="Arial" w:cs="Arial"/>
          <w:b/>
          <w:sz w:val="20"/>
          <w:szCs w:val="20"/>
        </w:rPr>
        <w:t xml:space="preserve"> </w:t>
      </w:r>
      <w:r w:rsidR="002D4396" w:rsidRPr="00BC06E6">
        <w:rPr>
          <w:rFonts w:ascii="Arial" w:hAnsi="Arial" w:cs="Arial"/>
          <w:sz w:val="20"/>
          <w:szCs w:val="20"/>
        </w:rPr>
        <w:t>On schedule</w:t>
      </w:r>
      <w:r w:rsidR="002D4396" w:rsidRPr="00BC06E6">
        <w:rPr>
          <w:rFonts w:ascii="Arial" w:hAnsi="Arial" w:cs="Arial"/>
          <w:sz w:val="20"/>
          <w:szCs w:val="20"/>
        </w:rPr>
        <w:tab/>
      </w:r>
      <w:r w:rsidR="002D4396" w:rsidRPr="00BC06E6">
        <w:rPr>
          <w:rFonts w:ascii="Arial" w:hAnsi="Arial" w:cs="Arial"/>
          <w:sz w:val="20"/>
          <w:szCs w:val="20"/>
        </w:rPr>
        <w:tab/>
      </w:r>
      <w:r w:rsidRPr="00BC06E6">
        <w:rPr>
          <w:rFonts w:ascii="Arial" w:hAnsi="Arial" w:cs="Arial"/>
          <w:sz w:val="20"/>
          <w:szCs w:val="20"/>
        </w:rPr>
        <w:t>_ On revised schedule</w:t>
      </w:r>
      <w:r w:rsidR="002D4396" w:rsidRPr="00BC06E6">
        <w:rPr>
          <w:rFonts w:ascii="Arial" w:hAnsi="Arial" w:cs="Arial"/>
          <w:sz w:val="20"/>
          <w:szCs w:val="20"/>
        </w:rPr>
        <w:tab/>
      </w:r>
      <w:r w:rsidR="002D4396" w:rsidRPr="00BC06E6">
        <w:rPr>
          <w:rFonts w:ascii="Arial" w:hAnsi="Arial" w:cs="Arial"/>
          <w:sz w:val="20"/>
          <w:szCs w:val="20"/>
        </w:rPr>
        <w:tab/>
      </w:r>
      <w:r w:rsidRPr="00BC06E6">
        <w:rPr>
          <w:rFonts w:ascii="Arial" w:hAnsi="Arial" w:cs="Arial"/>
          <w:sz w:val="20"/>
          <w:szCs w:val="20"/>
        </w:rPr>
        <w:t>_</w:t>
      </w:r>
      <w:r w:rsidR="002D4396" w:rsidRPr="00BC06E6">
        <w:rPr>
          <w:rFonts w:ascii="Arial" w:hAnsi="Arial" w:cs="Arial"/>
          <w:sz w:val="20"/>
          <w:szCs w:val="20"/>
        </w:rPr>
        <w:t xml:space="preserve"> </w:t>
      </w:r>
      <w:r w:rsidRPr="00BC06E6">
        <w:rPr>
          <w:rFonts w:ascii="Arial" w:hAnsi="Arial" w:cs="Arial"/>
          <w:sz w:val="20"/>
          <w:szCs w:val="20"/>
        </w:rPr>
        <w:t>Ahead of schedule</w:t>
      </w:r>
      <w:r w:rsidR="002D4396" w:rsidRPr="00BC06E6">
        <w:rPr>
          <w:rFonts w:ascii="Arial" w:hAnsi="Arial" w:cs="Arial"/>
          <w:sz w:val="20"/>
          <w:szCs w:val="20"/>
        </w:rPr>
        <w:tab/>
      </w:r>
      <w:r w:rsidR="002D4396" w:rsidRPr="00BC06E6">
        <w:rPr>
          <w:rFonts w:ascii="Arial" w:hAnsi="Arial" w:cs="Arial"/>
          <w:sz w:val="20"/>
          <w:szCs w:val="20"/>
        </w:rPr>
        <w:tab/>
      </w:r>
      <w:r w:rsidRPr="00BC06E6">
        <w:rPr>
          <w:rFonts w:ascii="Arial" w:hAnsi="Arial" w:cs="Arial"/>
          <w:sz w:val="20"/>
          <w:szCs w:val="20"/>
        </w:rPr>
        <w:t>_ Behind schedule</w:t>
      </w: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C06E6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C06E6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BC06E6" w:rsidTr="00360664">
        <w:tc>
          <w:tcPr>
            <w:tcW w:w="4158" w:type="dxa"/>
            <w:shd w:val="pct15" w:color="auto" w:fill="auto"/>
          </w:tcPr>
          <w:p w:rsidR="000C209F" w:rsidRPr="00BC06E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BC06E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BC06E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BC06E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BC06E6" w:rsidTr="00360664">
        <w:tc>
          <w:tcPr>
            <w:tcW w:w="4158" w:type="dxa"/>
            <w:vAlign w:val="center"/>
          </w:tcPr>
          <w:p w:rsidR="00167BE5" w:rsidRPr="00BC06E6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925833" w:rsidRPr="00BC06E6">
              <w:rPr>
                <w:rFonts w:ascii="Arial" w:hAnsi="Arial" w:cs="Arial"/>
                <w:sz w:val="20"/>
                <w:szCs w:val="20"/>
              </w:rPr>
              <w:t>372</w:t>
            </w:r>
            <w:r w:rsidRPr="00BC06E6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BC06E6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B569C5" w:rsidRPr="00BC06E6">
              <w:rPr>
                <w:rFonts w:ascii="Arial" w:hAnsi="Arial" w:cs="Arial"/>
                <w:sz w:val="20"/>
                <w:szCs w:val="20"/>
              </w:rPr>
              <w:t>132,</w:t>
            </w:r>
            <w:r w:rsidR="007E00B6" w:rsidRPr="00BC06E6">
              <w:rPr>
                <w:rFonts w:ascii="Arial" w:hAnsi="Arial" w:cs="Arial"/>
                <w:sz w:val="20"/>
                <w:szCs w:val="20"/>
              </w:rPr>
              <w:t>000</w:t>
            </w:r>
            <w:r w:rsidR="007A29BF" w:rsidRPr="00BC06E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330" w:type="dxa"/>
            <w:vAlign w:val="center"/>
          </w:tcPr>
          <w:p w:rsidR="002F6C13" w:rsidRPr="00BC06E6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$</w:t>
            </w:r>
            <w:r w:rsidR="007A29BF" w:rsidRPr="00BC06E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  <w:vAlign w:val="center"/>
          </w:tcPr>
          <w:p w:rsidR="000C209F" w:rsidRPr="00BC06E6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C06E6">
        <w:rPr>
          <w:rFonts w:ascii="Arial" w:hAnsi="Arial" w:cs="Arial"/>
          <w:b/>
          <w:i/>
          <w:sz w:val="20"/>
          <w:szCs w:val="20"/>
        </w:rPr>
        <w:t>Quarterly</w:t>
      </w:r>
      <w:r w:rsidRPr="00BC06E6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BC06E6" w:rsidTr="00360664">
        <w:tc>
          <w:tcPr>
            <w:tcW w:w="4158" w:type="dxa"/>
            <w:shd w:val="pct15" w:color="auto" w:fill="auto"/>
          </w:tcPr>
          <w:p w:rsidR="000C209F" w:rsidRPr="00BC06E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BC06E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BC06E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BC06E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BC06E6" w:rsidTr="00360664">
        <w:tc>
          <w:tcPr>
            <w:tcW w:w="4158" w:type="dxa"/>
          </w:tcPr>
          <w:p w:rsidR="000C209F" w:rsidRPr="00BC06E6" w:rsidRDefault="00287724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0</w:t>
            </w:r>
            <w:r w:rsidR="007A29BF" w:rsidRPr="00BC06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BC06E6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$</w:t>
            </w:r>
            <w:r w:rsidR="007A29BF" w:rsidRPr="00BC06E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</w:tcPr>
          <w:p w:rsidR="000C209F" w:rsidRPr="00BC06E6" w:rsidRDefault="0060149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1</w:t>
            </w:r>
            <w:r w:rsidR="00B569C5" w:rsidRPr="00BC06E6">
              <w:rPr>
                <w:rFonts w:ascii="Arial" w:hAnsi="Arial" w:cs="Arial"/>
                <w:sz w:val="20"/>
                <w:szCs w:val="20"/>
              </w:rPr>
              <w:t>7</w:t>
            </w:r>
            <w:r w:rsidR="00272964" w:rsidRPr="00BC06E6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BC06E6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BC06E6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BC06E6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C06E6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C06E6" w:rsidTr="00360664">
        <w:tc>
          <w:tcPr>
            <w:tcW w:w="10908" w:type="dxa"/>
          </w:tcPr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BC06E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BC06E6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BC06E6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BC06E6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BC0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BC06E6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BC0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6E6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BC06E6">
              <w:rPr>
                <w:rFonts w:ascii="Arial" w:hAnsi="Arial" w:cs="Arial"/>
                <w:sz w:val="20"/>
                <w:szCs w:val="20"/>
              </w:rPr>
              <w:t>476</w:t>
            </w:r>
            <w:r w:rsidRPr="00BC06E6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BC06E6">
              <w:rPr>
                <w:rFonts w:ascii="Arial" w:hAnsi="Arial" w:cs="Arial"/>
                <w:sz w:val="20"/>
                <w:szCs w:val="20"/>
              </w:rPr>
              <w:t>s</w:t>
            </w:r>
            <w:r w:rsidRPr="00BC06E6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BC06E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BC06E6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BC06E6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BC06E6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BC06E6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20535F" w:rsidRPr="00BC06E6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BC06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BC06E6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BC06E6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06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We also kindly request that partner agencies begin transferring their annual funding commitments to UDOT in 2021</w:t>
            </w:r>
            <w:r w:rsidR="00CF7EAA" w:rsidRPr="00BC06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and 2022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for </w:t>
            </w:r>
            <w:r w:rsidR="00AB3B64" w:rsidRPr="00BC06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BC06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:rsidR="008A11E8" w:rsidRPr="00BC06E6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C06E6" w:rsidTr="00360664">
        <w:tc>
          <w:tcPr>
            <w:tcW w:w="10908" w:type="dxa"/>
          </w:tcPr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BC06E6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F458E5" w:rsidRPr="00BC06E6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06E6" w:rsidRPr="00BC06E6" w:rsidRDefault="00F458E5" w:rsidP="002F0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BC06E6" w:rsidRPr="00BC06E6" w:rsidRDefault="00BC06E6" w:rsidP="00BC06E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5 November 2021  Executive Board Meeting 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Leadership Change, Larry </w:t>
            </w:r>
            <w:proofErr w:type="spellStart"/>
            <w:r w:rsidR="004F1FC1">
              <w:rPr>
                <w:rFonts w:ascii="Arial" w:hAnsi="Arial" w:cs="Arial"/>
                <w:sz w:val="20"/>
                <w:szCs w:val="20"/>
              </w:rPr>
              <w:t>Il</w:t>
            </w:r>
            <w:r w:rsidRPr="00BC06E6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BC06E6">
              <w:rPr>
                <w:rFonts w:ascii="Arial" w:hAnsi="Arial" w:cs="Arial"/>
                <w:sz w:val="20"/>
                <w:szCs w:val="20"/>
              </w:rPr>
              <w:t xml:space="preserve"> is now WAQTC Chair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Written exam direction for ASTM D3740 Compliance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Direction to pursue proctored remote “written” examinations.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AASHTO R 47 Revisions to championed in TS 2c Mid-year meetings.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Agreement to move non-Federal funds from the old pooled fund </w:t>
            </w:r>
            <w:r w:rsidR="004F1FC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BC06E6">
              <w:rPr>
                <w:rFonts w:ascii="Arial" w:hAnsi="Arial" w:cs="Arial"/>
                <w:sz w:val="20"/>
                <w:szCs w:val="20"/>
              </w:rPr>
              <w:t>the new fund when federal funds are expended.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 xml:space="preserve">Approval to pursue contracting with </w:t>
            </w:r>
            <w:proofErr w:type="spellStart"/>
            <w:r w:rsidRPr="00BC06E6"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 w:rsidRPr="00BC06E6">
              <w:rPr>
                <w:rFonts w:ascii="Arial" w:hAnsi="Arial" w:cs="Arial"/>
                <w:sz w:val="20"/>
                <w:szCs w:val="20"/>
              </w:rPr>
              <w:t xml:space="preserve"> for online or testing center exam delivery through the exam task force.</w:t>
            </w:r>
          </w:p>
          <w:p w:rsidR="00BC06E6" w:rsidRPr="00BC06E6" w:rsidRDefault="00BC06E6" w:rsidP="002F0614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Investigate virtual written exam delivery.</w:t>
            </w:r>
          </w:p>
          <w:p w:rsidR="00BC06E6" w:rsidRPr="00BC06E6" w:rsidRDefault="00BC06E6" w:rsidP="002F0614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Review written exam delivery methodology.</w:t>
            </w:r>
          </w:p>
          <w:p w:rsidR="00BC06E6" w:rsidRPr="00BC06E6" w:rsidRDefault="00BC06E6" w:rsidP="002F0614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QAC-revised training materials for 2022 reported as distributed to the member agencies.</w:t>
            </w:r>
          </w:p>
          <w:p w:rsidR="00F738E3" w:rsidRPr="00BC06E6" w:rsidRDefault="00F738E3" w:rsidP="002F061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C06E6" w:rsidTr="003B3781">
        <w:tc>
          <w:tcPr>
            <w:tcW w:w="10908" w:type="dxa"/>
          </w:tcPr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BC06E6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BC06E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BC06E6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5883" w:rsidRPr="00710886" w:rsidRDefault="00A15883" w:rsidP="00A158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Preliminary implementation of third-party testing option.</w:t>
            </w:r>
          </w:p>
          <w:p w:rsidR="00A15883" w:rsidRPr="00710886" w:rsidRDefault="00A15883" w:rsidP="00A158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QAC Winter meeting January 31 – February 4.</w:t>
            </w:r>
          </w:p>
          <w:p w:rsidR="00A15883" w:rsidRPr="00710886" w:rsidRDefault="00A15883" w:rsidP="00A158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Next Executive Board meeting to be held in conjunction with the WASHTO meeting in Long Beach, CA.</w:t>
            </w:r>
          </w:p>
          <w:p w:rsidR="00543AA8" w:rsidRPr="00BC06E6" w:rsidRDefault="00543AA8" w:rsidP="006C7C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BC06E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C06E6" w:rsidTr="00360664">
        <w:tc>
          <w:tcPr>
            <w:tcW w:w="10908" w:type="dxa"/>
          </w:tcPr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C209F" w:rsidRPr="00BC06E6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BC06E6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06E6" w:rsidRPr="00BC06E6" w:rsidRDefault="00BC06E6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2022 Training materials and exams were updated, finished, and delivered the member states.</w:t>
            </w:r>
          </w:p>
          <w:p w:rsidR="00F458E5" w:rsidRPr="00BC06E6" w:rsidRDefault="006C7CD3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AASHTO test method revisions and proposals as outlined above.</w:t>
            </w:r>
          </w:p>
          <w:p w:rsidR="006C7CD3" w:rsidRPr="00BC06E6" w:rsidRDefault="006C7CD3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Adjustments to exam policy and examinations, including authorization for and progress toward third-party electronic delivery of examinations.</w:t>
            </w:r>
          </w:p>
          <w:p w:rsidR="00A66413" w:rsidRPr="00BC06E6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C06E6" w:rsidTr="00360664">
        <w:tc>
          <w:tcPr>
            <w:tcW w:w="10908" w:type="dxa"/>
          </w:tcPr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06E6" w:rsidRPr="00BC06E6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2022 Training materials and exams were updated, finished, and delivered the member states.</w:t>
            </w:r>
          </w:p>
          <w:p w:rsidR="00543AA8" w:rsidRPr="00BC06E6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The COVID-19 pandemic reduced ability to travel and meet in-person.  Video conferences were used and the QAC members were included in board meetings.</w:t>
            </w:r>
          </w:p>
          <w:p w:rsidR="00543AA8" w:rsidRPr="00BC06E6" w:rsidRDefault="00543AA8" w:rsidP="00543A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C06E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BC06E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BC06E6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06E6" w:rsidRPr="00BC06E6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Revised Field Operation Procedure Manuals were delivered in Fall of 2021 for January 2022 implementation.</w:t>
            </w:r>
          </w:p>
          <w:p w:rsidR="009E61AF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6E6">
              <w:rPr>
                <w:rFonts w:ascii="Arial" w:hAnsi="Arial" w:cs="Arial"/>
                <w:sz w:val="20"/>
                <w:szCs w:val="20"/>
              </w:rPr>
              <w:t>AASHTO revisions will be promoted in AASHTO COMP mid-year meetings.</w:t>
            </w:r>
          </w:p>
          <w:p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591" w:rsidRDefault="009A5591" w:rsidP="00106C83">
      <w:pPr>
        <w:spacing w:after="0" w:line="240" w:lineRule="auto"/>
      </w:pPr>
      <w:r>
        <w:separator/>
      </w:r>
    </w:p>
  </w:endnote>
  <w:endnote w:type="continuationSeparator" w:id="0">
    <w:p w:rsidR="009A5591" w:rsidRDefault="009A5591" w:rsidP="00106C83">
      <w:pPr>
        <w:spacing w:after="0" w:line="240" w:lineRule="auto"/>
      </w:pPr>
      <w:r>
        <w:continuationSeparator/>
      </w:r>
    </w:p>
  </w:endnote>
  <w:endnote w:type="continuationNotice" w:id="1">
    <w:p w:rsidR="009A5591" w:rsidRDefault="009A5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591" w:rsidRDefault="009A5591" w:rsidP="00106C83">
      <w:pPr>
        <w:spacing w:after="0" w:line="240" w:lineRule="auto"/>
      </w:pPr>
      <w:r>
        <w:separator/>
      </w:r>
    </w:p>
  </w:footnote>
  <w:footnote w:type="continuationSeparator" w:id="0">
    <w:p w:rsidR="009A5591" w:rsidRDefault="009A5591" w:rsidP="00106C83">
      <w:pPr>
        <w:spacing w:after="0" w:line="240" w:lineRule="auto"/>
      </w:pPr>
      <w:r>
        <w:continuationSeparator/>
      </w:r>
    </w:p>
  </w:footnote>
  <w:footnote w:type="continuationNotice" w:id="1">
    <w:p w:rsidR="009A5591" w:rsidRDefault="009A5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402DA"/>
    <w:rsid w:val="00142752"/>
    <w:rsid w:val="001428DF"/>
    <w:rsid w:val="001429F4"/>
    <w:rsid w:val="0014331B"/>
    <w:rsid w:val="00145270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07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2964"/>
    <w:rsid w:val="002742C3"/>
    <w:rsid w:val="00276274"/>
    <w:rsid w:val="002765D0"/>
    <w:rsid w:val="002803BE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06F35"/>
    <w:rsid w:val="00313136"/>
    <w:rsid w:val="003133E9"/>
    <w:rsid w:val="0031390E"/>
    <w:rsid w:val="00314C27"/>
    <w:rsid w:val="00315011"/>
    <w:rsid w:val="00315979"/>
    <w:rsid w:val="00317414"/>
    <w:rsid w:val="00317A1B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6A0B"/>
    <w:rsid w:val="003D717C"/>
    <w:rsid w:val="003E0A8C"/>
    <w:rsid w:val="003E2E1F"/>
    <w:rsid w:val="003E43F0"/>
    <w:rsid w:val="003E4DE4"/>
    <w:rsid w:val="003E5DCB"/>
    <w:rsid w:val="003E757F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060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CD3"/>
    <w:rsid w:val="006C7F35"/>
    <w:rsid w:val="006D03A4"/>
    <w:rsid w:val="006D10FB"/>
    <w:rsid w:val="006D4346"/>
    <w:rsid w:val="006D6160"/>
    <w:rsid w:val="006D7C44"/>
    <w:rsid w:val="006E1297"/>
    <w:rsid w:val="006E313B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87901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5591"/>
    <w:rsid w:val="009A62E2"/>
    <w:rsid w:val="009A666B"/>
    <w:rsid w:val="009A6841"/>
    <w:rsid w:val="009A76C8"/>
    <w:rsid w:val="009B0CE7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06E6"/>
    <w:rsid w:val="00BC13C8"/>
    <w:rsid w:val="00BC1C41"/>
    <w:rsid w:val="00BC4290"/>
    <w:rsid w:val="00BC4B1C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27AE8"/>
    <w:rsid w:val="00C31EC6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CF7EAA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5496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45648"/>
  <w15:docId w15:val="{394C6174-6AB3-4CA3-8A06-EA3C5E9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76EA-CA6E-4E4C-8DC0-7C44F758E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1FAE8-23D2-4304-B849-EEFBF745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129</cp:revision>
  <cp:lastPrinted>2011-06-21T20:32:00Z</cp:lastPrinted>
  <dcterms:created xsi:type="dcterms:W3CDTF">2021-08-13T20:06:00Z</dcterms:created>
  <dcterms:modified xsi:type="dcterms:W3CDTF">2022-01-31T22:48:00Z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